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24" w:rsidRPr="00746624" w:rsidRDefault="00746624" w:rsidP="00746624">
      <w:pPr>
        <w:spacing w:line="560" w:lineRule="exact"/>
        <w:jc w:val="left"/>
        <w:rPr>
          <w:rFonts w:ascii="方正仿宋_GBK" w:eastAsia="方正仿宋_GBK" w:hAnsi="微软雅黑" w:hint="eastAsia"/>
          <w:sz w:val="28"/>
        </w:rPr>
      </w:pPr>
      <w:r w:rsidRPr="00746624">
        <w:rPr>
          <w:rFonts w:ascii="方正仿宋_GBK" w:eastAsia="方正仿宋_GBK" w:hAnsi="微软雅黑" w:hint="eastAsia"/>
          <w:sz w:val="28"/>
        </w:rPr>
        <w:t>附件1</w:t>
      </w:r>
    </w:p>
    <w:p w:rsidR="00746624" w:rsidRPr="00746624" w:rsidRDefault="00746624" w:rsidP="00746624">
      <w:pPr>
        <w:snapToGrid w:val="0"/>
        <w:spacing w:line="560" w:lineRule="exact"/>
        <w:jc w:val="center"/>
        <w:rPr>
          <w:rFonts w:ascii="方正仿宋_GBK" w:eastAsia="方正仿宋_GBK" w:hAnsi="微软雅黑" w:cs="仿宋_GB2312" w:hint="eastAsia"/>
          <w:sz w:val="28"/>
          <w:szCs w:val="28"/>
        </w:rPr>
      </w:pPr>
      <w:proofErr w:type="gramStart"/>
      <w:r w:rsidRPr="00746624">
        <w:rPr>
          <w:rFonts w:ascii="方正仿宋_GBK" w:eastAsia="方正仿宋_GBK" w:hAnsi="微软雅黑" w:cs="方正小标宋_GBK" w:hint="eastAsia"/>
          <w:sz w:val="28"/>
          <w:szCs w:val="28"/>
        </w:rPr>
        <w:t>市域产教</w:t>
      </w:r>
      <w:proofErr w:type="gramEnd"/>
      <w:r w:rsidRPr="00746624">
        <w:rPr>
          <w:rFonts w:ascii="方正仿宋_GBK" w:eastAsia="方正仿宋_GBK" w:hAnsi="微软雅黑" w:cs="方正小标宋_GBK" w:hint="eastAsia"/>
          <w:sz w:val="28"/>
          <w:szCs w:val="28"/>
        </w:rPr>
        <w:t>联合体建设指标</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0"/>
        <w:gridCol w:w="7360"/>
      </w:tblGrid>
      <w:tr w:rsidR="00746624" w:rsidRPr="00746624" w:rsidTr="00156B0D">
        <w:trPr>
          <w:trHeight w:val="518"/>
          <w:tblHeader/>
          <w:jc w:val="center"/>
        </w:trPr>
        <w:tc>
          <w:tcPr>
            <w:tcW w:w="956" w:type="dxa"/>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宋体" w:hint="eastAsia"/>
                <w:color w:val="000000"/>
                <w:kern w:val="0"/>
                <w:sz w:val="24"/>
                <w:szCs w:val="24"/>
              </w:rPr>
            </w:pPr>
            <w:r w:rsidRPr="00746624">
              <w:rPr>
                <w:rFonts w:ascii="方正仿宋_GBK" w:eastAsia="方正仿宋_GBK" w:hAnsi="微软雅黑" w:cs="宋体" w:hint="eastAsia"/>
                <w:color w:val="000000"/>
                <w:kern w:val="0"/>
                <w:sz w:val="24"/>
                <w:szCs w:val="24"/>
              </w:rPr>
              <w:t>基本</w:t>
            </w:r>
          </w:p>
          <w:p w:rsidR="00746624" w:rsidRPr="00746624" w:rsidRDefault="00746624" w:rsidP="00156B0D">
            <w:pPr>
              <w:widowControl/>
              <w:snapToGrid w:val="0"/>
              <w:spacing w:line="320" w:lineRule="exact"/>
              <w:jc w:val="center"/>
              <w:rPr>
                <w:rFonts w:ascii="方正仿宋_GBK" w:eastAsia="方正仿宋_GBK" w:hAnsi="微软雅黑" w:cs="宋体" w:hint="eastAsia"/>
                <w:color w:val="000000"/>
                <w:kern w:val="0"/>
                <w:sz w:val="24"/>
                <w:szCs w:val="24"/>
              </w:rPr>
            </w:pPr>
            <w:r w:rsidRPr="00746624">
              <w:rPr>
                <w:rFonts w:ascii="方正仿宋_GBK" w:eastAsia="方正仿宋_GBK" w:hAnsi="微软雅黑" w:cs="宋体" w:hint="eastAsia"/>
                <w:color w:val="000000"/>
                <w:kern w:val="0"/>
                <w:sz w:val="24"/>
                <w:szCs w:val="24"/>
              </w:rPr>
              <w:t>指标</w:t>
            </w:r>
          </w:p>
        </w:tc>
        <w:tc>
          <w:tcPr>
            <w:tcW w:w="7566" w:type="dxa"/>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宋体" w:hint="eastAsia"/>
                <w:color w:val="000000"/>
                <w:kern w:val="0"/>
                <w:sz w:val="24"/>
                <w:szCs w:val="24"/>
              </w:rPr>
            </w:pPr>
            <w:r w:rsidRPr="00746624">
              <w:rPr>
                <w:rFonts w:ascii="方正仿宋_GBK" w:eastAsia="方正仿宋_GBK" w:hAnsi="微软雅黑" w:cs="宋体" w:hint="eastAsia"/>
                <w:color w:val="000000"/>
                <w:kern w:val="0"/>
                <w:sz w:val="24"/>
                <w:szCs w:val="24"/>
              </w:rPr>
              <w:t>观测点</w:t>
            </w:r>
          </w:p>
        </w:tc>
      </w:tr>
      <w:tr w:rsidR="00746624" w:rsidRPr="00746624" w:rsidTr="00156B0D">
        <w:trPr>
          <w:trHeight w:val="1338"/>
          <w:jc w:val="center"/>
        </w:trPr>
        <w:tc>
          <w:tcPr>
            <w:tcW w:w="956" w:type="dxa"/>
            <w:vMerge w:val="restart"/>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kern w:val="0"/>
                <w:sz w:val="24"/>
                <w:szCs w:val="24"/>
              </w:rPr>
            </w:pPr>
            <w:r w:rsidRPr="00746624">
              <w:rPr>
                <w:rFonts w:ascii="方正仿宋_GBK" w:eastAsia="方正仿宋_GBK" w:hAnsi="微软雅黑" w:cs="方正仿宋_GBK" w:hint="eastAsia"/>
                <w:kern w:val="0"/>
                <w:sz w:val="24"/>
                <w:szCs w:val="24"/>
              </w:rPr>
              <w:t>1.基本情况</w:t>
            </w: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b/>
                <w:bCs/>
                <w:color w:val="000000"/>
                <w:kern w:val="0"/>
                <w:sz w:val="24"/>
                <w:szCs w:val="24"/>
              </w:rPr>
            </w:pPr>
            <w:r w:rsidRPr="00746624">
              <w:rPr>
                <w:rFonts w:ascii="方正仿宋_GBK" w:eastAsia="方正仿宋_GBK" w:hAnsi="微软雅黑" w:cs="方正仿宋_GBK" w:hint="eastAsia"/>
                <w:kern w:val="0"/>
                <w:sz w:val="24"/>
                <w:szCs w:val="24"/>
              </w:rPr>
              <w:t>1.1联合体依托的产业园区总产值在省内位于前列，主要以先进制造业、现代服务业、现代农业等为</w:t>
            </w:r>
            <w:bookmarkStart w:id="0" w:name="_GoBack"/>
            <w:bookmarkEnd w:id="0"/>
            <w:r w:rsidRPr="00746624">
              <w:rPr>
                <w:rFonts w:ascii="方正仿宋_GBK" w:eastAsia="方正仿宋_GBK" w:hAnsi="微软雅黑" w:cs="方正仿宋_GBK" w:hint="eastAsia"/>
                <w:kern w:val="0"/>
                <w:sz w:val="24"/>
                <w:szCs w:val="24"/>
              </w:rPr>
              <w:t>核心主导产业；联合体职业教育资源富集，涵盖中职、高职（含职教本科）学校，吸纳普通本科学校作为成员</w:t>
            </w:r>
          </w:p>
        </w:tc>
      </w:tr>
      <w:tr w:rsidR="00746624" w:rsidRPr="00746624" w:rsidTr="00156B0D">
        <w:trPr>
          <w:trHeight w:val="505"/>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kern w:val="0"/>
                <w:sz w:val="24"/>
                <w:szCs w:val="24"/>
              </w:rPr>
            </w:pPr>
            <w:r w:rsidRPr="00746624">
              <w:rPr>
                <w:rFonts w:ascii="方正仿宋_GBK" w:eastAsia="方正仿宋_GBK" w:hAnsi="微软雅黑" w:cs="方正仿宋_GBK" w:hint="eastAsia"/>
                <w:kern w:val="0"/>
                <w:sz w:val="24"/>
                <w:szCs w:val="24"/>
              </w:rPr>
              <w:t>1.2将联合体建设情况纳入产业园区工作考核指标和职业教育工作目标考核体系</w:t>
            </w:r>
          </w:p>
        </w:tc>
      </w:tr>
      <w:tr w:rsidR="00746624" w:rsidRPr="00746624" w:rsidTr="00156B0D">
        <w:trPr>
          <w:trHeight w:val="505"/>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kern w:val="0"/>
                <w:sz w:val="24"/>
                <w:szCs w:val="24"/>
              </w:rPr>
            </w:pPr>
            <w:r w:rsidRPr="00746624">
              <w:rPr>
                <w:rFonts w:ascii="方正仿宋_GBK" w:eastAsia="方正仿宋_GBK" w:hAnsi="微软雅黑" w:cs="方正仿宋_GBK" w:hint="eastAsia"/>
                <w:kern w:val="0"/>
                <w:sz w:val="24"/>
                <w:szCs w:val="24"/>
              </w:rPr>
              <w:t>1.3教育部门会同其他有关部门建立密切配合的协调联动机制，明确职责分工，划定重点任务，提出时间节点</w:t>
            </w:r>
          </w:p>
        </w:tc>
      </w:tr>
      <w:tr w:rsidR="00746624" w:rsidRPr="00746624" w:rsidTr="00156B0D">
        <w:trPr>
          <w:trHeight w:val="505"/>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kern w:val="0"/>
                <w:sz w:val="24"/>
                <w:szCs w:val="24"/>
              </w:rPr>
            </w:pPr>
            <w:r w:rsidRPr="00746624">
              <w:rPr>
                <w:rFonts w:ascii="方正仿宋_GBK" w:eastAsia="方正仿宋_GBK" w:hAnsi="微软雅黑" w:cs="方正仿宋_GBK" w:hint="eastAsia"/>
                <w:kern w:val="0"/>
                <w:sz w:val="24"/>
                <w:szCs w:val="24"/>
              </w:rPr>
              <w:t>1.4经费投入和其他政策支持力度较大，明确支持职业教育的金融、财政、税费、土地、信用、就业和收入分配等激励政策的具体举措，相关政策落地实施</w:t>
            </w:r>
          </w:p>
        </w:tc>
      </w:tr>
      <w:tr w:rsidR="00746624" w:rsidRPr="00746624" w:rsidTr="00156B0D">
        <w:trPr>
          <w:trHeight w:val="294"/>
          <w:jc w:val="center"/>
        </w:trPr>
        <w:tc>
          <w:tcPr>
            <w:tcW w:w="956" w:type="dxa"/>
            <w:vMerge w:val="restart"/>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FF0000"/>
                <w:kern w:val="0"/>
                <w:sz w:val="24"/>
                <w:szCs w:val="24"/>
              </w:rPr>
            </w:pPr>
            <w:r w:rsidRPr="00746624">
              <w:rPr>
                <w:rFonts w:ascii="方正仿宋_GBK" w:eastAsia="方正仿宋_GBK" w:hAnsi="微软雅黑" w:cs="方正仿宋_GBK" w:hint="eastAsia"/>
                <w:kern w:val="0"/>
                <w:sz w:val="24"/>
                <w:szCs w:val="24"/>
              </w:rPr>
              <w:t>2.运行机制</w:t>
            </w: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FF0000"/>
                <w:kern w:val="0"/>
                <w:sz w:val="24"/>
                <w:szCs w:val="24"/>
              </w:rPr>
            </w:pPr>
            <w:r w:rsidRPr="00746624">
              <w:rPr>
                <w:rFonts w:ascii="方正仿宋_GBK" w:eastAsia="方正仿宋_GBK" w:hAnsi="微软雅黑" w:cs="方正仿宋_GBK" w:hint="eastAsia"/>
                <w:kern w:val="0"/>
                <w:sz w:val="24"/>
                <w:szCs w:val="24"/>
              </w:rPr>
              <w:t>2.1成立政府、企业、学校、科研机构等多方参与的理事会（董事会）</w:t>
            </w:r>
          </w:p>
        </w:tc>
      </w:tr>
      <w:tr w:rsidR="00746624" w:rsidRPr="00746624" w:rsidTr="00156B0D">
        <w:trPr>
          <w:trHeight w:val="358"/>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FF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FF0000"/>
                <w:kern w:val="0"/>
                <w:sz w:val="24"/>
                <w:szCs w:val="24"/>
              </w:rPr>
            </w:pPr>
            <w:r w:rsidRPr="00746624">
              <w:rPr>
                <w:rFonts w:ascii="方正仿宋_GBK" w:eastAsia="方正仿宋_GBK" w:hAnsi="微软雅黑" w:cs="方正仿宋_GBK" w:hint="eastAsia"/>
                <w:kern w:val="0"/>
                <w:sz w:val="24"/>
                <w:szCs w:val="24"/>
              </w:rPr>
              <w:t>2.2建立多元协同、共建共管的治理模式，达到产权明晰、组织完备、机制健全、运行高效的实体化运作要求</w:t>
            </w:r>
          </w:p>
        </w:tc>
      </w:tr>
      <w:tr w:rsidR="00746624" w:rsidRPr="00746624" w:rsidTr="00156B0D">
        <w:trPr>
          <w:trHeight w:val="358"/>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b/>
                <w:bCs/>
                <w:color w:val="000000"/>
                <w:kern w:val="0"/>
                <w:sz w:val="24"/>
                <w:szCs w:val="24"/>
              </w:rPr>
            </w:pPr>
            <w:r w:rsidRPr="00746624">
              <w:rPr>
                <w:rFonts w:ascii="方正仿宋_GBK" w:eastAsia="方正仿宋_GBK" w:hAnsi="微软雅黑" w:cs="方正仿宋_GBK" w:hint="eastAsia"/>
                <w:kern w:val="0"/>
                <w:sz w:val="24"/>
                <w:szCs w:val="24"/>
              </w:rPr>
              <w:t>2.3建立</w:t>
            </w:r>
            <w:proofErr w:type="gramStart"/>
            <w:r w:rsidRPr="00746624">
              <w:rPr>
                <w:rFonts w:ascii="方正仿宋_GBK" w:eastAsia="方正仿宋_GBK" w:hAnsi="微软雅黑" w:cs="方正仿宋_GBK" w:hint="eastAsia"/>
                <w:kern w:val="0"/>
                <w:sz w:val="24"/>
                <w:szCs w:val="24"/>
              </w:rPr>
              <w:t>市域产教</w:t>
            </w:r>
            <w:proofErr w:type="gramEnd"/>
            <w:r w:rsidRPr="00746624">
              <w:rPr>
                <w:rFonts w:ascii="方正仿宋_GBK" w:eastAsia="方正仿宋_GBK" w:hAnsi="微软雅黑" w:cs="方正仿宋_GBK" w:hint="eastAsia"/>
                <w:kern w:val="0"/>
                <w:sz w:val="24"/>
                <w:szCs w:val="24"/>
              </w:rPr>
              <w:t>联合体章程、运营管理制度等，构建</w:t>
            </w:r>
            <w:proofErr w:type="gramStart"/>
            <w:r w:rsidRPr="00746624">
              <w:rPr>
                <w:rFonts w:ascii="方正仿宋_GBK" w:eastAsia="方正仿宋_GBK" w:hAnsi="微软雅黑" w:cs="方正仿宋_GBK" w:hint="eastAsia"/>
                <w:kern w:val="0"/>
                <w:sz w:val="24"/>
                <w:szCs w:val="24"/>
              </w:rPr>
              <w:t>市域产教</w:t>
            </w:r>
            <w:proofErr w:type="gramEnd"/>
            <w:r w:rsidRPr="00746624">
              <w:rPr>
                <w:rFonts w:ascii="方正仿宋_GBK" w:eastAsia="方正仿宋_GBK" w:hAnsi="微软雅黑" w:cs="方正仿宋_GBK" w:hint="eastAsia"/>
                <w:kern w:val="0"/>
                <w:sz w:val="24"/>
                <w:szCs w:val="24"/>
              </w:rPr>
              <w:t>联合体人员聘用及评价体系、绩效考核体系、运营质量保障体系等</w:t>
            </w:r>
          </w:p>
        </w:tc>
      </w:tr>
      <w:tr w:rsidR="00746624" w:rsidRPr="00746624" w:rsidTr="00156B0D">
        <w:trPr>
          <w:trHeight w:val="674"/>
          <w:jc w:val="center"/>
        </w:trPr>
        <w:tc>
          <w:tcPr>
            <w:tcW w:w="956" w:type="dxa"/>
            <w:vMerge/>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2.4理事会（董事会）管理决策、秘书处（办公室）日常工作、各执行机构（包括分支机构）运行规范明晰</w:t>
            </w:r>
          </w:p>
        </w:tc>
      </w:tr>
      <w:tr w:rsidR="00746624" w:rsidRPr="00746624" w:rsidTr="00156B0D">
        <w:trPr>
          <w:trHeight w:val="90"/>
          <w:jc w:val="center"/>
        </w:trPr>
        <w:tc>
          <w:tcPr>
            <w:tcW w:w="956" w:type="dxa"/>
            <w:vMerge w:val="restart"/>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3.共建共享</w:t>
            </w: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3.1联合体内各类主体共商培养方案、共</w:t>
            </w:r>
            <w:proofErr w:type="gramStart"/>
            <w:r w:rsidRPr="00746624">
              <w:rPr>
                <w:rFonts w:ascii="方正仿宋_GBK" w:eastAsia="方正仿宋_GBK" w:hAnsi="微软雅黑" w:cs="方正仿宋_GBK" w:hint="eastAsia"/>
                <w:color w:val="000000"/>
                <w:kern w:val="0"/>
                <w:sz w:val="24"/>
                <w:szCs w:val="24"/>
              </w:rPr>
              <w:t>组教学</w:t>
            </w:r>
            <w:proofErr w:type="gramEnd"/>
            <w:r w:rsidRPr="00746624">
              <w:rPr>
                <w:rFonts w:ascii="方正仿宋_GBK" w:eastAsia="方正仿宋_GBK" w:hAnsi="微软雅黑" w:cs="方正仿宋_GBK" w:hint="eastAsia"/>
                <w:color w:val="000000"/>
                <w:kern w:val="0"/>
                <w:sz w:val="24"/>
                <w:szCs w:val="24"/>
              </w:rPr>
              <w:t>团队、共建教学资源，共同实施学业考核评价，积极</w:t>
            </w:r>
            <w:proofErr w:type="gramStart"/>
            <w:r w:rsidRPr="00746624">
              <w:rPr>
                <w:rFonts w:ascii="方正仿宋_GBK" w:eastAsia="方正仿宋_GBK" w:hAnsi="微软雅黑" w:cs="方正仿宋_GBK" w:hint="eastAsia"/>
                <w:color w:val="000000"/>
                <w:kern w:val="0"/>
                <w:sz w:val="24"/>
                <w:szCs w:val="24"/>
              </w:rPr>
              <w:t>探索高</w:t>
            </w:r>
            <w:proofErr w:type="gramEnd"/>
            <w:r w:rsidRPr="00746624">
              <w:rPr>
                <w:rFonts w:ascii="方正仿宋_GBK" w:eastAsia="方正仿宋_GBK" w:hAnsi="微软雅黑" w:cs="方正仿宋_GBK" w:hint="eastAsia"/>
                <w:color w:val="000000"/>
                <w:kern w:val="0"/>
                <w:sz w:val="24"/>
                <w:szCs w:val="24"/>
              </w:rPr>
              <w:t>技能人才培养的新模式，广泛开展校企联合招生、联合培养、岗位成才的中国特色学徒制</w:t>
            </w:r>
          </w:p>
        </w:tc>
      </w:tr>
      <w:tr w:rsidR="00746624" w:rsidRPr="00746624" w:rsidTr="00156B0D">
        <w:trPr>
          <w:trHeight w:val="90"/>
          <w:jc w:val="center"/>
        </w:trPr>
        <w:tc>
          <w:tcPr>
            <w:tcW w:w="956" w:type="dxa"/>
            <w:vMerge/>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3.2龙头企业深度参与职业学校专业规划、人才培养标准、教材课程开发、师资队伍建设等各个环节，并取得实际成效</w:t>
            </w:r>
          </w:p>
        </w:tc>
      </w:tr>
      <w:tr w:rsidR="00746624" w:rsidRPr="00746624" w:rsidTr="00156B0D">
        <w:trPr>
          <w:trHeight w:val="541"/>
          <w:jc w:val="center"/>
        </w:trPr>
        <w:tc>
          <w:tcPr>
            <w:tcW w:w="956" w:type="dxa"/>
            <w:vMerge/>
            <w:vAlign w:val="center"/>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3.3对</w:t>
            </w:r>
            <w:proofErr w:type="gramStart"/>
            <w:r w:rsidRPr="00746624">
              <w:rPr>
                <w:rFonts w:ascii="方正仿宋_GBK" w:eastAsia="方正仿宋_GBK" w:hAnsi="微软雅黑" w:cs="方正仿宋_GBK" w:hint="eastAsia"/>
                <w:color w:val="000000"/>
                <w:kern w:val="0"/>
                <w:sz w:val="24"/>
                <w:szCs w:val="24"/>
              </w:rPr>
              <w:t>标产业</w:t>
            </w:r>
            <w:proofErr w:type="gramEnd"/>
            <w:r w:rsidRPr="00746624">
              <w:rPr>
                <w:rFonts w:ascii="方正仿宋_GBK" w:eastAsia="方正仿宋_GBK" w:hAnsi="微软雅黑" w:cs="方正仿宋_GBK" w:hint="eastAsia"/>
                <w:color w:val="000000"/>
                <w:kern w:val="0"/>
                <w:sz w:val="24"/>
                <w:szCs w:val="24"/>
              </w:rPr>
              <w:t>发展前沿，联合体成员单位共建产教融合实训基地和产业学院，促进教育链、人才链与产业链、创新链紧密结合</w:t>
            </w:r>
          </w:p>
        </w:tc>
      </w:tr>
      <w:tr w:rsidR="00746624" w:rsidRPr="00746624" w:rsidTr="00156B0D">
        <w:trPr>
          <w:trHeight w:val="287"/>
          <w:jc w:val="center"/>
        </w:trPr>
        <w:tc>
          <w:tcPr>
            <w:tcW w:w="956" w:type="dxa"/>
            <w:vMerge/>
            <w:vAlign w:val="center"/>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3.4设置灵活的用人机制，采取固定岗与流动岗相结合的方式，聘请企业工程技术人员、高技能人才、管理人员、能工巧匠等到校全职或兼职工作</w:t>
            </w:r>
          </w:p>
        </w:tc>
      </w:tr>
      <w:tr w:rsidR="00746624" w:rsidRPr="00746624" w:rsidTr="00156B0D">
        <w:trPr>
          <w:trHeight w:val="246"/>
          <w:jc w:val="center"/>
        </w:trPr>
        <w:tc>
          <w:tcPr>
            <w:tcW w:w="956" w:type="dxa"/>
            <w:vMerge/>
            <w:vAlign w:val="center"/>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3.5校企联合制订人才培养方案或职工培训方案，实现人员互相兼职，相互为学生实习实训、教师实践、学生就业创业、员工培训、企业技术和产品研发、成果转移转化等提供支持</w:t>
            </w:r>
          </w:p>
        </w:tc>
      </w:tr>
      <w:tr w:rsidR="00746624" w:rsidRPr="00746624" w:rsidTr="00156B0D">
        <w:trPr>
          <w:trHeight w:val="90"/>
          <w:jc w:val="center"/>
        </w:trPr>
        <w:tc>
          <w:tcPr>
            <w:tcW w:w="956" w:type="dxa"/>
            <w:vMerge w:val="restart"/>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4.人才培养</w:t>
            </w: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4.1搭建人才供需信息平台，职业学校紧贴市场和就业形势，完善职业教育专业动态调整机制，促进专业布局与当地产业结构紧密对接</w:t>
            </w:r>
          </w:p>
        </w:tc>
      </w:tr>
      <w:tr w:rsidR="00746624" w:rsidRPr="00746624" w:rsidTr="00156B0D">
        <w:trPr>
          <w:trHeight w:val="90"/>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4.2坚持服务学生全面发展，通过校企协作育人，积极塑造学生的价值观念、职业技能意识以及社会责任感，有效提升学生的实践能力、沟通合作能力、可持续发展能力</w:t>
            </w:r>
          </w:p>
        </w:tc>
      </w:tr>
      <w:tr w:rsidR="00746624" w:rsidRPr="00746624" w:rsidTr="00156B0D">
        <w:trPr>
          <w:trHeight w:val="90"/>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4.3联合体各类主体深度参与职业学校专业规划、人才培养规格确定、课程开发、师资队伍建设，及时把新方法、新技术、新工艺、新标准引入教育教学实践</w:t>
            </w:r>
          </w:p>
        </w:tc>
      </w:tr>
      <w:tr w:rsidR="00746624" w:rsidRPr="00746624" w:rsidTr="00156B0D">
        <w:trPr>
          <w:trHeight w:val="90"/>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4.4企业按岗位总量一定比例设立岗位，接受</w:t>
            </w:r>
            <w:proofErr w:type="gramStart"/>
            <w:r w:rsidRPr="00746624">
              <w:rPr>
                <w:rFonts w:ascii="方正仿宋_GBK" w:eastAsia="方正仿宋_GBK" w:hAnsi="微软雅黑" w:cs="方正仿宋_GBK" w:hint="eastAsia"/>
                <w:color w:val="000000"/>
                <w:kern w:val="0"/>
                <w:sz w:val="24"/>
                <w:szCs w:val="24"/>
              </w:rPr>
              <w:t>学生来企实习</w:t>
            </w:r>
            <w:proofErr w:type="gramEnd"/>
            <w:r w:rsidRPr="00746624">
              <w:rPr>
                <w:rFonts w:ascii="方正仿宋_GBK" w:eastAsia="方正仿宋_GBK" w:hAnsi="微软雅黑" w:cs="方正仿宋_GBK" w:hint="eastAsia"/>
                <w:color w:val="000000"/>
                <w:kern w:val="0"/>
                <w:sz w:val="24"/>
                <w:szCs w:val="24"/>
              </w:rPr>
              <w:t>实训和教师岗位实践</w:t>
            </w:r>
          </w:p>
        </w:tc>
      </w:tr>
      <w:tr w:rsidR="00746624" w:rsidRPr="00746624" w:rsidTr="00156B0D">
        <w:trPr>
          <w:trHeight w:val="521"/>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4.5联合体所在省建立完善“文化素质+职业技能”考试招生办法，支持联合体内中职、高职高专、本科学校合作分段培养或贯通培养学生，鼓励普通本科学校招收符合条件的中高职毕业生和企业一线优秀员工就读本科和专业学位研究生教育</w:t>
            </w:r>
          </w:p>
        </w:tc>
      </w:tr>
      <w:tr w:rsidR="00746624" w:rsidRPr="00746624" w:rsidTr="00156B0D">
        <w:trPr>
          <w:trHeight w:val="90"/>
          <w:jc w:val="center"/>
        </w:trPr>
        <w:tc>
          <w:tcPr>
            <w:tcW w:w="956" w:type="dxa"/>
            <w:vMerge w:val="restart"/>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5.服务发展</w:t>
            </w: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5.1建设共性技术服务平台，支持联合体内职业院校、普通高校、科研机构与企业开展协同攻关，为园区企业提供技术咨询与服务，促进技术创新、工艺改进、产品升级，解决实际生产问题</w:t>
            </w:r>
          </w:p>
        </w:tc>
      </w:tr>
      <w:tr w:rsidR="00746624" w:rsidRPr="00746624" w:rsidTr="00156B0D">
        <w:trPr>
          <w:trHeight w:val="285"/>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5.2联合体校企合作开展技术研发的成果转化率较高，合作取得一批研究成果（包括发明专利、实用新型专利等）、一批省部级奖励（包括教育教学成果、创新创业实践成果、科技创新成果等）</w:t>
            </w:r>
          </w:p>
        </w:tc>
      </w:tr>
      <w:tr w:rsidR="00746624" w:rsidRPr="00746624" w:rsidTr="00156B0D">
        <w:trPr>
          <w:trHeight w:val="296"/>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5.3联合制订培训规划，支持联合体内院校积极承接企业员工开展岗前培训、岗位培训、继续教育等，提升企业员工的技能水平和岗位适应能力，培训效果好</w:t>
            </w:r>
          </w:p>
        </w:tc>
      </w:tr>
      <w:tr w:rsidR="00746624" w:rsidRPr="00746624" w:rsidTr="00156B0D">
        <w:trPr>
          <w:trHeight w:val="511"/>
          <w:jc w:val="center"/>
        </w:trPr>
        <w:tc>
          <w:tcPr>
            <w:tcW w:w="956" w:type="dxa"/>
            <w:vMerge/>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5.4联合体积极服务制造强国、乡村振兴、共同富裕、“一带一路”倡议等国家和区域重大发展战略，取得显著成效</w:t>
            </w:r>
          </w:p>
        </w:tc>
      </w:tr>
      <w:tr w:rsidR="00746624" w:rsidRPr="00746624" w:rsidTr="00156B0D">
        <w:trPr>
          <w:trHeight w:val="622"/>
          <w:jc w:val="center"/>
        </w:trPr>
        <w:tc>
          <w:tcPr>
            <w:tcW w:w="956" w:type="dxa"/>
            <w:vMerge w:val="restart"/>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6.特色创新</w:t>
            </w: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6.1联合体在服务区域经济社会发展等方面理念先进、特色鲜明、成绩突出</w:t>
            </w:r>
          </w:p>
        </w:tc>
      </w:tr>
      <w:tr w:rsidR="00746624" w:rsidRPr="00746624" w:rsidTr="00156B0D">
        <w:trPr>
          <w:trHeight w:val="622"/>
          <w:jc w:val="center"/>
        </w:trPr>
        <w:tc>
          <w:tcPr>
            <w:tcW w:w="956" w:type="dxa"/>
            <w:vMerge/>
            <w:shd w:val="clear" w:color="auto" w:fill="auto"/>
            <w:vAlign w:val="center"/>
          </w:tcPr>
          <w:p w:rsidR="00746624" w:rsidRPr="00746624" w:rsidRDefault="00746624" w:rsidP="00156B0D">
            <w:pPr>
              <w:widowControl/>
              <w:snapToGrid w:val="0"/>
              <w:spacing w:line="320" w:lineRule="exact"/>
              <w:ind w:firstLineChars="200" w:firstLine="480"/>
              <w:rPr>
                <w:rFonts w:ascii="方正仿宋_GBK" w:eastAsia="方正仿宋_GBK" w:hAnsi="微软雅黑" w:cs="方正仿宋_GBK" w:hint="eastAsia"/>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6.2联合体在制度建设、运行机制等方面改革创新，并取得明显成效，具有推广价值</w:t>
            </w:r>
          </w:p>
        </w:tc>
      </w:tr>
      <w:tr w:rsidR="00746624" w:rsidRPr="00746624" w:rsidTr="00156B0D">
        <w:trPr>
          <w:trHeight w:val="622"/>
          <w:jc w:val="center"/>
        </w:trPr>
        <w:tc>
          <w:tcPr>
            <w:tcW w:w="956" w:type="dxa"/>
            <w:vMerge/>
            <w:shd w:val="clear" w:color="auto" w:fill="auto"/>
            <w:vAlign w:val="center"/>
          </w:tcPr>
          <w:p w:rsidR="00746624" w:rsidRPr="00746624" w:rsidRDefault="00746624" w:rsidP="00156B0D">
            <w:pPr>
              <w:widowControl/>
              <w:snapToGrid w:val="0"/>
              <w:spacing w:line="320" w:lineRule="exact"/>
              <w:ind w:firstLineChars="200" w:firstLine="480"/>
              <w:rPr>
                <w:rFonts w:ascii="方正仿宋_GBK" w:eastAsia="方正仿宋_GBK" w:hAnsi="微软雅黑" w:cs="方正仿宋_GBK" w:hint="eastAsia"/>
                <w:color w:val="000000"/>
                <w:kern w:val="0"/>
                <w:sz w:val="24"/>
                <w:szCs w:val="24"/>
              </w:rPr>
            </w:pP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6.3联合体促进了本地区本行业职业教育发展，提升了职业教育的社会影响力</w:t>
            </w:r>
          </w:p>
        </w:tc>
      </w:tr>
      <w:tr w:rsidR="00746624" w:rsidRPr="00746624" w:rsidTr="00156B0D">
        <w:trPr>
          <w:trHeight w:val="511"/>
          <w:jc w:val="center"/>
        </w:trPr>
        <w:tc>
          <w:tcPr>
            <w:tcW w:w="956" w:type="dxa"/>
            <w:shd w:val="clear" w:color="auto" w:fill="auto"/>
            <w:vAlign w:val="center"/>
          </w:tcPr>
          <w:p w:rsidR="00746624" w:rsidRPr="00746624" w:rsidRDefault="00746624" w:rsidP="00156B0D">
            <w:pPr>
              <w:widowControl/>
              <w:snapToGrid w:val="0"/>
              <w:spacing w:line="320" w:lineRule="exact"/>
              <w:jc w:val="center"/>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7.其他</w:t>
            </w:r>
          </w:p>
        </w:tc>
        <w:tc>
          <w:tcPr>
            <w:tcW w:w="7566" w:type="dxa"/>
            <w:shd w:val="clear" w:color="auto" w:fill="auto"/>
          </w:tcPr>
          <w:p w:rsidR="00746624" w:rsidRPr="00746624" w:rsidRDefault="00746624" w:rsidP="00156B0D">
            <w:pPr>
              <w:widowControl/>
              <w:snapToGrid w:val="0"/>
              <w:spacing w:line="320" w:lineRule="exact"/>
              <w:rPr>
                <w:rFonts w:ascii="方正仿宋_GBK" w:eastAsia="方正仿宋_GBK" w:hAnsi="微软雅黑" w:cs="方正仿宋_GBK" w:hint="eastAsia"/>
                <w:color w:val="000000"/>
                <w:kern w:val="0"/>
                <w:sz w:val="24"/>
                <w:szCs w:val="24"/>
              </w:rPr>
            </w:pPr>
            <w:r w:rsidRPr="00746624">
              <w:rPr>
                <w:rFonts w:ascii="方正仿宋_GBK" w:eastAsia="方正仿宋_GBK" w:hAnsi="微软雅黑" w:cs="方正仿宋_GBK" w:hint="eastAsia"/>
                <w:color w:val="000000"/>
                <w:kern w:val="0"/>
                <w:sz w:val="24"/>
                <w:szCs w:val="24"/>
              </w:rPr>
              <w:t>联合体近3年内在招生、就业、安全等领域发生过重</w:t>
            </w:r>
            <w:proofErr w:type="gramStart"/>
            <w:r w:rsidRPr="00746624">
              <w:rPr>
                <w:rFonts w:ascii="方正仿宋_GBK" w:eastAsia="方正仿宋_GBK" w:hAnsi="微软雅黑" w:cs="方正仿宋_GBK" w:hint="eastAsia"/>
                <w:color w:val="000000"/>
                <w:kern w:val="0"/>
                <w:sz w:val="24"/>
                <w:szCs w:val="24"/>
              </w:rPr>
              <w:t>大违法</w:t>
            </w:r>
            <w:proofErr w:type="gramEnd"/>
            <w:r w:rsidRPr="00746624">
              <w:rPr>
                <w:rFonts w:ascii="方正仿宋_GBK" w:eastAsia="方正仿宋_GBK" w:hAnsi="微软雅黑" w:cs="方正仿宋_GBK" w:hint="eastAsia"/>
                <w:color w:val="000000"/>
                <w:kern w:val="0"/>
                <w:sz w:val="24"/>
                <w:szCs w:val="24"/>
              </w:rPr>
              <w:t>违规事件、造成不良社会影响的，酌情扣分</w:t>
            </w:r>
          </w:p>
        </w:tc>
      </w:tr>
    </w:tbl>
    <w:p w:rsidR="00A5563F" w:rsidRPr="00746624" w:rsidRDefault="00746624">
      <w:pPr>
        <w:rPr>
          <w:rFonts w:ascii="方正仿宋_GBK" w:eastAsia="方正仿宋_GBK" w:hint="eastAsia"/>
        </w:rPr>
      </w:pPr>
    </w:p>
    <w:sectPr w:rsidR="00A5563F" w:rsidRPr="00746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24"/>
    <w:rsid w:val="00746624"/>
    <w:rsid w:val="00754121"/>
    <w:rsid w:val="00A1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FEC99-C420-4573-82F6-D6BDE682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1458</Characters>
  <Application>Microsoft Office Word</Application>
  <DocSecurity>0</DocSecurity>
  <Lines>12</Lines>
  <Paragraphs>3</Paragraphs>
  <ScaleCrop>false</ScaleCrop>
  <Company>Microsoft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2024-09-13T00:54:00Z</dcterms:created>
  <dcterms:modified xsi:type="dcterms:W3CDTF">2024-09-13T00:55:00Z</dcterms:modified>
</cp:coreProperties>
</file>